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left"/>
        <w:rPr>
          <w:rFonts w:hint="eastAsia"/>
          <w:b w:val="0"/>
          <w:bCs/>
          <w:sz w:val="36"/>
          <w:szCs w:val="28"/>
          <w:lang w:eastAsia="zh-CN"/>
        </w:rPr>
      </w:pPr>
      <w:r>
        <w:rPr>
          <w:rFonts w:hint="eastAsia"/>
          <w:b w:val="0"/>
          <w:bCs/>
          <w:sz w:val="36"/>
          <w:szCs w:val="28"/>
          <w:lang w:eastAsia="zh-CN"/>
        </w:rPr>
        <w:t>附件：</w:t>
      </w:r>
    </w:p>
    <w:p>
      <w:pPr>
        <w:pStyle w:val="2"/>
        <w:bidi w:val="0"/>
        <w:jc w:val="center"/>
        <w:rPr>
          <w:rFonts w:hint="eastAsia"/>
          <w:b w:val="0"/>
          <w:bCs/>
          <w:sz w:val="44"/>
          <w:szCs w:val="36"/>
          <w:lang w:eastAsia="zh-CN"/>
        </w:rPr>
      </w:pPr>
      <w:r>
        <w:rPr>
          <w:rFonts w:hint="eastAsia"/>
          <w:b w:val="0"/>
          <w:bCs/>
          <w:sz w:val="44"/>
          <w:szCs w:val="36"/>
        </w:rPr>
        <w:t>县域肿瘤多学科诊疗</w:t>
      </w:r>
      <w:r>
        <w:rPr>
          <w:rFonts w:hint="eastAsia"/>
          <w:b w:val="0"/>
          <w:bCs/>
          <w:sz w:val="44"/>
          <w:szCs w:val="36"/>
          <w:lang w:eastAsia="zh-CN"/>
        </w:rPr>
        <w:t>项目详情</w:t>
      </w:r>
    </w:p>
    <w:p>
      <w:pPr>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p>
    <w:p>
      <w:pPr>
        <w:pStyle w:val="5"/>
        <w:keepNext w:val="0"/>
        <w:keepLines w:val="0"/>
        <w:pageBreakBefore w:val="0"/>
        <w:numPr>
          <w:numId w:val="0"/>
        </w:numPr>
        <w:kinsoku/>
        <w:wordWrap/>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项目安排</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项目时间：2023年3月-2024年9月</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活动场次：全国开展，线上计划开展480场，线下计划开展30场，共510场</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活动形式：线上直播、线下学术活动</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项目预算：约14000000元（大写：壹仟肆佰万元整） </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金额：人民币（万元）</w:t>
      </w:r>
    </w:p>
    <w:tbl>
      <w:tblPr>
        <w:tblStyle w:val="3"/>
        <w:tblW w:w="10325" w:type="dxa"/>
        <w:jc w:val="center"/>
        <w:tblLayout w:type="fixed"/>
        <w:tblCellMar>
          <w:top w:w="0" w:type="dxa"/>
          <w:left w:w="108" w:type="dxa"/>
          <w:bottom w:w="0" w:type="dxa"/>
          <w:right w:w="108" w:type="dxa"/>
        </w:tblCellMar>
      </w:tblPr>
      <w:tblGrid>
        <w:gridCol w:w="1216"/>
        <w:gridCol w:w="901"/>
        <w:gridCol w:w="937"/>
        <w:gridCol w:w="905"/>
        <w:gridCol w:w="851"/>
        <w:gridCol w:w="709"/>
        <w:gridCol w:w="708"/>
        <w:gridCol w:w="851"/>
        <w:gridCol w:w="831"/>
        <w:gridCol w:w="2416"/>
      </w:tblGrid>
      <w:tr>
        <w:tblPrEx>
          <w:tblCellMar>
            <w:top w:w="0" w:type="dxa"/>
            <w:left w:w="108" w:type="dxa"/>
            <w:bottom w:w="0" w:type="dxa"/>
            <w:right w:w="108" w:type="dxa"/>
          </w:tblCellMar>
        </w:tblPrEx>
        <w:trPr>
          <w:trHeight w:val="758" w:hRule="atLeast"/>
          <w:jc w:val="center"/>
        </w:trPr>
        <w:tc>
          <w:tcPr>
            <w:tcW w:w="1216"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疾病领域</w:t>
            </w:r>
          </w:p>
        </w:tc>
        <w:tc>
          <w:tcPr>
            <w:tcW w:w="901"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线上会数量</w:t>
            </w:r>
          </w:p>
        </w:tc>
        <w:tc>
          <w:tcPr>
            <w:tcW w:w="937"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线上会单价</w:t>
            </w:r>
          </w:p>
        </w:tc>
        <w:tc>
          <w:tcPr>
            <w:tcW w:w="905"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线下会数量</w:t>
            </w:r>
          </w:p>
        </w:tc>
        <w:tc>
          <w:tcPr>
            <w:tcW w:w="851"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线下会单价</w:t>
            </w:r>
          </w:p>
        </w:tc>
        <w:tc>
          <w:tcPr>
            <w:tcW w:w="709"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媒体发布</w:t>
            </w:r>
          </w:p>
        </w:tc>
        <w:tc>
          <w:tcPr>
            <w:tcW w:w="708"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发布单价</w:t>
            </w:r>
          </w:p>
        </w:tc>
        <w:tc>
          <w:tcPr>
            <w:tcW w:w="851"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831" w:type="dxa"/>
            <w:tcBorders>
              <w:top w:val="single" w:color="auto" w:sz="8"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占比</w:t>
            </w:r>
          </w:p>
        </w:tc>
        <w:tc>
          <w:tcPr>
            <w:tcW w:w="2416" w:type="dxa"/>
            <w:tcBorders>
              <w:top w:val="single" w:color="auto" w:sz="8" w:space="0"/>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项目周期</w:t>
            </w:r>
          </w:p>
        </w:tc>
      </w:tr>
      <w:tr>
        <w:tblPrEx>
          <w:tblCellMar>
            <w:top w:w="0" w:type="dxa"/>
            <w:left w:w="108" w:type="dxa"/>
            <w:bottom w:w="0" w:type="dxa"/>
            <w:right w:w="108" w:type="dxa"/>
          </w:tblCellMar>
        </w:tblPrEx>
        <w:trPr>
          <w:trHeight w:val="387" w:hRule="atLeast"/>
          <w:jc w:val="center"/>
        </w:trPr>
        <w:tc>
          <w:tcPr>
            <w:tcW w:w="1216" w:type="dxa"/>
            <w:tcBorders>
              <w:top w:val="nil"/>
              <w:left w:val="single" w:color="auto" w:sz="8"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肺癌</w:t>
            </w:r>
          </w:p>
        </w:tc>
        <w:tc>
          <w:tcPr>
            <w:tcW w:w="90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1.90 </w:t>
            </w:r>
          </w:p>
        </w:tc>
        <w:tc>
          <w:tcPr>
            <w:tcW w:w="9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13.50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 </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619 </w:t>
            </w:r>
          </w:p>
        </w:tc>
        <w:tc>
          <w:tcPr>
            <w:tcW w:w="8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2416"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2023年3月-2024年9月</w:t>
            </w:r>
          </w:p>
        </w:tc>
      </w:tr>
      <w:tr>
        <w:tblPrEx>
          <w:tblCellMar>
            <w:top w:w="0" w:type="dxa"/>
            <w:left w:w="108" w:type="dxa"/>
            <w:bottom w:w="0" w:type="dxa"/>
            <w:right w:w="108" w:type="dxa"/>
          </w:tblCellMar>
        </w:tblPrEx>
        <w:trPr>
          <w:trHeight w:val="387" w:hRule="atLeast"/>
          <w:jc w:val="center"/>
        </w:trPr>
        <w:tc>
          <w:tcPr>
            <w:tcW w:w="1216" w:type="dxa"/>
            <w:tcBorders>
              <w:top w:val="single" w:color="auto" w:sz="4" w:space="0"/>
              <w:left w:val="single" w:color="auto" w:sz="8"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乳腺癌</w:t>
            </w:r>
          </w:p>
        </w:tc>
        <w:tc>
          <w:tcPr>
            <w:tcW w:w="90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155</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1.90 </w:t>
            </w:r>
          </w:p>
        </w:tc>
        <w:tc>
          <w:tcPr>
            <w:tcW w:w="9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13.50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 </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435 </w:t>
            </w:r>
          </w:p>
        </w:tc>
        <w:tc>
          <w:tcPr>
            <w:tcW w:w="8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2416"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2023年3月-2024年9月</w:t>
            </w:r>
          </w:p>
        </w:tc>
      </w:tr>
      <w:tr>
        <w:tblPrEx>
          <w:tblCellMar>
            <w:top w:w="0" w:type="dxa"/>
            <w:left w:w="108" w:type="dxa"/>
            <w:bottom w:w="0" w:type="dxa"/>
            <w:right w:w="108" w:type="dxa"/>
          </w:tblCellMar>
        </w:tblPrEx>
        <w:trPr>
          <w:trHeight w:val="387" w:hRule="atLeast"/>
          <w:jc w:val="center"/>
        </w:trPr>
        <w:tc>
          <w:tcPr>
            <w:tcW w:w="1216" w:type="dxa"/>
            <w:tcBorders>
              <w:top w:val="single" w:color="auto" w:sz="4" w:space="0"/>
              <w:left w:val="single" w:color="auto" w:sz="8"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消化道肿瘤</w:t>
            </w:r>
          </w:p>
        </w:tc>
        <w:tc>
          <w:tcPr>
            <w:tcW w:w="90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1.90 </w:t>
            </w:r>
          </w:p>
        </w:tc>
        <w:tc>
          <w:tcPr>
            <w:tcW w:w="9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13.50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 </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195 </w:t>
            </w:r>
          </w:p>
        </w:tc>
        <w:tc>
          <w:tcPr>
            <w:tcW w:w="8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416"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2023年3月-2024年9月</w:t>
            </w:r>
          </w:p>
        </w:tc>
      </w:tr>
      <w:tr>
        <w:tblPrEx>
          <w:tblCellMar>
            <w:top w:w="0" w:type="dxa"/>
            <w:left w:w="108" w:type="dxa"/>
            <w:bottom w:w="0" w:type="dxa"/>
            <w:right w:w="108" w:type="dxa"/>
          </w:tblCellMar>
        </w:tblPrEx>
        <w:trPr>
          <w:trHeight w:val="387" w:hRule="atLeast"/>
          <w:jc w:val="center"/>
        </w:trPr>
        <w:tc>
          <w:tcPr>
            <w:tcW w:w="121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血液肿瘤</w:t>
            </w:r>
          </w:p>
        </w:tc>
        <w:tc>
          <w:tcPr>
            <w:tcW w:w="90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1.90 </w:t>
            </w:r>
          </w:p>
        </w:tc>
        <w:tc>
          <w:tcPr>
            <w:tcW w:w="9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13.50 </w:t>
            </w: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 </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149 </w:t>
            </w:r>
          </w:p>
        </w:tc>
        <w:tc>
          <w:tcPr>
            <w:tcW w:w="8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416"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2023年3月-2024年9月</w:t>
            </w:r>
          </w:p>
        </w:tc>
      </w:tr>
      <w:tr>
        <w:tblPrEx>
          <w:tblCellMar>
            <w:top w:w="0" w:type="dxa"/>
            <w:left w:w="108" w:type="dxa"/>
            <w:bottom w:w="0" w:type="dxa"/>
            <w:right w:w="108" w:type="dxa"/>
          </w:tblCellMar>
        </w:tblPrEx>
        <w:trPr>
          <w:trHeight w:val="387" w:hRule="atLeast"/>
          <w:jc w:val="center"/>
        </w:trPr>
        <w:tc>
          <w:tcPr>
            <w:tcW w:w="1216" w:type="dxa"/>
            <w:tcBorders>
              <w:top w:val="nil"/>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90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480</w:t>
            </w:r>
          </w:p>
        </w:tc>
        <w:tc>
          <w:tcPr>
            <w:tcW w:w="93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90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85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70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20</w:t>
            </w:r>
          </w:p>
        </w:tc>
        <w:tc>
          <w:tcPr>
            <w:tcW w:w="708"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85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1397 </w:t>
            </w:r>
          </w:p>
        </w:tc>
        <w:tc>
          <w:tcPr>
            <w:tcW w:w="83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100%</w:t>
            </w:r>
          </w:p>
        </w:tc>
        <w:tc>
          <w:tcPr>
            <w:tcW w:w="241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sz w:val="22"/>
        </w:rPr>
      </w:pPr>
    </w:p>
    <w:p>
      <w:pPr>
        <w:pStyle w:val="5"/>
        <w:keepNext w:val="0"/>
        <w:keepLines w:val="0"/>
        <w:pageBreakBefore w:val="0"/>
        <w:numPr>
          <w:numId w:val="0"/>
        </w:numPr>
        <w:kinsoku/>
        <w:wordWrap/>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主办单位</w:t>
      </w:r>
    </w:p>
    <w:p>
      <w:pPr>
        <w:pStyle w:val="5"/>
        <w:keepNext w:val="0"/>
        <w:keepLines w:val="0"/>
        <w:pageBreakBefore w:val="0"/>
        <w:numPr>
          <w:numId w:val="0"/>
        </w:numPr>
        <w:kinsoku/>
        <w:wordWrap/>
        <w:overflowPunct/>
        <w:topLinePunct w:val="0"/>
        <w:autoSpaceDE/>
        <w:autoSpaceDN/>
        <w:bidi w:val="0"/>
        <w:adjustRightInd/>
        <w:snapToGrid/>
        <w:spacing w:line="240" w:lineRule="auto"/>
        <w:ind w:leftChars="0"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中关村精准医学基金会</w:t>
      </w:r>
    </w:p>
    <w:p>
      <w:pPr>
        <w:pStyle w:val="5"/>
        <w:keepNext w:val="0"/>
        <w:keepLines w:val="0"/>
        <w:pageBreakBefore w:val="0"/>
        <w:numPr>
          <w:numId w:val="0"/>
        </w:numPr>
        <w:kinsoku/>
        <w:wordWrap/>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三、</w:t>
      </w:r>
      <w:r>
        <w:rPr>
          <w:rFonts w:hint="eastAsia" w:ascii="宋体" w:hAnsi="宋体" w:eastAsia="宋体" w:cs="宋体"/>
          <w:b/>
          <w:sz w:val="28"/>
          <w:szCs w:val="28"/>
        </w:rPr>
        <w:t>覆盖范围</w:t>
      </w:r>
    </w:p>
    <w:p>
      <w:pPr>
        <w:pStyle w:val="5"/>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本项目拟邀全国县域医院肿瘤科、呼吸科、血液科等科室医生组成MDT团队进行学术交流</w:t>
      </w:r>
      <w:r>
        <w:rPr>
          <w:rFonts w:hint="eastAsia" w:ascii="宋体" w:hAnsi="宋体" w:eastAsia="宋体" w:cs="宋体"/>
          <w:sz w:val="28"/>
          <w:szCs w:val="28"/>
          <w:lang w:eastAsia="zh-CN"/>
        </w:rPr>
        <w:t>。</w:t>
      </w:r>
    </w:p>
    <w:p>
      <w:pPr>
        <w:pStyle w:val="5"/>
        <w:keepNext w:val="0"/>
        <w:keepLines w:val="0"/>
        <w:pageBreakBefore w:val="0"/>
        <w:numPr>
          <w:numId w:val="0"/>
        </w:numPr>
        <w:kinsoku/>
        <w:wordWrap/>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四、</w:t>
      </w:r>
      <w:r>
        <w:rPr>
          <w:rFonts w:hint="eastAsia" w:ascii="宋体" w:hAnsi="宋体" w:eastAsia="宋体" w:cs="宋体"/>
          <w:b/>
          <w:sz w:val="28"/>
          <w:szCs w:val="28"/>
        </w:rPr>
        <w:t>支持细则</w:t>
      </w:r>
    </w:p>
    <w:p>
      <w:pPr>
        <w:pStyle w:val="5"/>
        <w:keepNext w:val="0"/>
        <w:keepLines w:val="0"/>
        <w:pageBreakBefore w:val="0"/>
        <w:numPr>
          <w:numId w:val="0"/>
        </w:numPr>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支持企业在得到确认后，应在合同签订后30日内将项目第一笔款打入活动指定的帐户；</w:t>
      </w:r>
    </w:p>
    <w:p>
      <w:pPr>
        <w:pStyle w:val="5"/>
        <w:keepNext w:val="0"/>
        <w:keepLines w:val="0"/>
        <w:pageBreakBefore w:val="0"/>
        <w:numPr>
          <w:numId w:val="0"/>
        </w:numPr>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支持企业以人民币支付款项。</w:t>
      </w:r>
    </w:p>
    <w:p>
      <w:pPr>
        <w:pStyle w:val="5"/>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账户信息：</w:t>
      </w:r>
    </w:p>
    <w:p>
      <w:pPr>
        <w:pStyle w:val="5"/>
        <w:keepNext w:val="0"/>
        <w:keepLines w:val="0"/>
        <w:pageBreakBefore w:val="0"/>
        <w:kinsoku/>
        <w:wordWrap/>
        <w:overflowPunct/>
        <w:topLinePunct w:val="0"/>
        <w:autoSpaceDE/>
        <w:autoSpaceDN/>
        <w:bidi w:val="0"/>
        <w:adjustRightInd/>
        <w:snapToGrid/>
        <w:spacing w:line="240" w:lineRule="auto"/>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开户行：农业银行北京航天桥支行</w:t>
      </w:r>
    </w:p>
    <w:p>
      <w:pPr>
        <w:pStyle w:val="5"/>
        <w:keepNext w:val="0"/>
        <w:keepLines w:val="0"/>
        <w:pageBreakBefore w:val="0"/>
        <w:kinsoku/>
        <w:wordWrap/>
        <w:overflowPunct/>
        <w:topLinePunct w:val="0"/>
        <w:autoSpaceDE/>
        <w:autoSpaceDN/>
        <w:bidi w:val="0"/>
        <w:adjustRightInd/>
        <w:snapToGrid/>
        <w:spacing w:line="240" w:lineRule="auto"/>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名：中关村精准医学基金会</w:t>
      </w:r>
    </w:p>
    <w:p>
      <w:pPr>
        <w:pStyle w:val="5"/>
        <w:keepNext w:val="0"/>
        <w:keepLines w:val="0"/>
        <w:pageBreakBefore w:val="0"/>
        <w:kinsoku/>
        <w:wordWrap/>
        <w:overflowPunct/>
        <w:topLinePunct w:val="0"/>
        <w:autoSpaceDE/>
        <w:autoSpaceDN/>
        <w:bidi w:val="0"/>
        <w:adjustRightInd/>
        <w:snapToGrid/>
        <w:spacing w:line="240" w:lineRule="auto"/>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账</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号：11211201040001009 </w:t>
      </w:r>
    </w:p>
    <w:p>
      <w:pPr>
        <w:pStyle w:val="5"/>
        <w:keepNext w:val="0"/>
        <w:keepLines w:val="0"/>
        <w:pageBreakBefore w:val="0"/>
        <w:numPr>
          <w:numId w:val="0"/>
        </w:numPr>
        <w:kinsoku/>
        <w:wordWrap/>
        <w:overflowPunct/>
        <w:topLinePunct w:val="0"/>
        <w:autoSpaceDE/>
        <w:autoSpaceDN/>
        <w:bidi w:val="0"/>
        <w:adjustRightInd/>
        <w:snapToGrid/>
        <w:spacing w:line="240" w:lineRule="auto"/>
        <w:ind w:left="456" w:leftChars="0" w:right="0" w:rightChars="0" w:firstLine="281" w:firstLineChars="1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联系方式</w:t>
      </w:r>
    </w:p>
    <w:p>
      <w:pPr>
        <w:pStyle w:val="5"/>
        <w:keepNext w:val="0"/>
        <w:keepLines w:val="0"/>
        <w:pageBreakBefore w:val="0"/>
        <w:kinsoku/>
        <w:wordWrap/>
        <w:overflowPunct/>
        <w:topLinePunct w:val="0"/>
        <w:autoSpaceDE/>
        <w:autoSpaceDN/>
        <w:bidi w:val="0"/>
        <w:adjustRightInd/>
        <w:snapToGrid/>
        <w:spacing w:line="240" w:lineRule="auto"/>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协会联系人：栗老师</w:t>
      </w:r>
    </w:p>
    <w:p>
      <w:pPr>
        <w:pStyle w:val="5"/>
        <w:keepNext w:val="0"/>
        <w:keepLines w:val="0"/>
        <w:pageBreakBefore w:val="0"/>
        <w:kinsoku/>
        <w:wordWrap/>
        <w:overflowPunct/>
        <w:topLinePunct w:val="0"/>
        <w:autoSpaceDE/>
        <w:autoSpaceDN/>
        <w:bidi w:val="0"/>
        <w:adjustRightInd/>
        <w:snapToGrid/>
        <w:spacing w:line="240" w:lineRule="auto"/>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联系电话：18511935579 </w:t>
      </w:r>
    </w:p>
    <w:p>
      <w:pPr>
        <w:keepNext w:val="0"/>
        <w:keepLines w:val="0"/>
        <w:pageBreakBefore w:val="0"/>
        <w:kinsoku/>
        <w:wordWrap/>
        <w:overflowPunct/>
        <w:topLinePunct w:val="0"/>
        <w:autoSpaceDE/>
        <w:autoSpaceDN/>
        <w:bidi w:val="0"/>
        <w:adjustRightInd/>
        <w:snapToGrid/>
        <w:spacing w:line="260" w:lineRule="atLeast"/>
        <w:ind w:right="0" w:rightChars="0"/>
        <w:textAlignment w:val="auto"/>
        <w:outlineLvl w:val="9"/>
        <w:rPr>
          <w:rFonts w:hint="eastAsia" w:ascii="宋体" w:hAnsi="宋体" w:eastAsia="宋体" w:cs="宋体"/>
          <w:sz w:val="28"/>
          <w:szCs w:val="28"/>
        </w:rPr>
      </w:pPr>
    </w:p>
    <w:p>
      <w:pPr>
        <w:pStyle w:val="5"/>
        <w:keepNext w:val="0"/>
        <w:keepLines w:val="0"/>
        <w:pageBreakBefore w:val="0"/>
        <w:numPr>
          <w:numId w:val="0"/>
        </w:numPr>
        <w:kinsoku/>
        <w:wordWrap/>
        <w:overflowPunct/>
        <w:topLinePunct w:val="0"/>
        <w:autoSpaceDE/>
        <w:autoSpaceDN/>
        <w:bidi w:val="0"/>
        <w:adjustRightInd/>
        <w:snapToGrid/>
        <w:spacing w:line="260" w:lineRule="atLeast"/>
        <w:ind w:leftChars="0"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活动日程（拟定，最终以实际为准）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1.线上会议：</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213169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131906"/>
                    </a:xfrm>
                    <a:prstGeom prst="rect">
                      <a:avLst/>
                    </a:prstGeom>
                    <a:noFill/>
                    <a:ln>
                      <a:noFill/>
                    </a:ln>
                  </pic:spPr>
                </pic:pic>
              </a:graphicData>
            </a:graphic>
          </wp:inline>
        </w:drawing>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sz w:val="22"/>
        </w:rPr>
      </w:pPr>
    </w:p>
    <w:p>
      <w:pPr>
        <w:pStyle w:val="5"/>
        <w:keepNext w:val="0"/>
        <w:keepLines w:val="0"/>
        <w:pageBreakBefore w:val="0"/>
        <w:kinsoku/>
        <w:wordWrap/>
        <w:overflowPunct/>
        <w:topLinePunct w:val="0"/>
        <w:autoSpaceDE/>
        <w:autoSpaceDN/>
        <w:bidi w:val="0"/>
        <w:adjustRightInd/>
        <w:snapToGrid/>
        <w:spacing w:line="260" w:lineRule="atLeast"/>
        <w:ind w:left="0" w:leftChars="0" w:right="0" w:rightChars="0" w:firstLine="0" w:firstLineChars="0"/>
        <w:textAlignment w:val="auto"/>
        <w:outlineLvl w:val="9"/>
        <w:rPr>
          <w:rFonts w:hint="eastAsia" w:ascii="宋体" w:hAnsi="宋体" w:eastAsia="宋体" w:cs="宋体"/>
          <w:sz w:val="22"/>
        </w:rPr>
      </w:pP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sz w:val="22"/>
        </w:rPr>
      </w:pP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sz w:val="22"/>
        </w:rPr>
      </w:pP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sz w:val="22"/>
        </w:rPr>
      </w:pP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sz w:val="22"/>
        </w:rPr>
      </w:pPr>
    </w:p>
    <w:p>
      <w:pPr>
        <w:pStyle w:val="5"/>
        <w:keepNext w:val="0"/>
        <w:keepLines w:val="0"/>
        <w:pageBreakBefore w:val="0"/>
        <w:kinsoku/>
        <w:wordWrap/>
        <w:overflowPunct/>
        <w:topLinePunct w:val="0"/>
        <w:autoSpaceDE/>
        <w:autoSpaceDN/>
        <w:bidi w:val="0"/>
        <w:adjustRightInd/>
        <w:snapToGrid/>
        <w:spacing w:line="260" w:lineRule="atLeast"/>
        <w:ind w:left="0" w:leftChars="0" w:right="0" w:rightChars="0" w:firstLine="840" w:firstLineChars="300"/>
        <w:textAlignment w:val="auto"/>
        <w:outlineLvl w:val="9"/>
        <w:rPr>
          <w:rFonts w:hint="eastAsia" w:ascii="宋体" w:hAnsi="宋体" w:eastAsia="宋体" w:cs="宋体"/>
          <w:sz w:val="28"/>
          <w:szCs w:val="32"/>
        </w:rPr>
      </w:pPr>
      <w:r>
        <w:rPr>
          <w:rFonts w:hint="eastAsia" w:ascii="宋体" w:hAnsi="宋体" w:eastAsia="宋体" w:cs="宋体"/>
          <w:sz w:val="28"/>
          <w:szCs w:val="32"/>
        </w:rPr>
        <w:t>2.线下会议：</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rPr>
      </w:pPr>
      <w:r>
        <w:rPr>
          <w:rFonts w:hint="eastAsia" w:ascii="宋体" w:hAnsi="宋体" w:eastAsia="宋体" w:cs="宋体"/>
        </w:rPr>
        <w:drawing>
          <wp:inline distT="0" distB="0" distL="0" distR="0">
            <wp:extent cx="5274310" cy="3336290"/>
            <wp:effectExtent l="0" t="0" r="254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336758"/>
                    </a:xfrm>
                    <a:prstGeom prst="rect">
                      <a:avLst/>
                    </a:prstGeom>
                    <a:noFill/>
                    <a:ln>
                      <a:noFill/>
                    </a:ln>
                  </pic:spPr>
                </pic:pic>
              </a:graphicData>
            </a:graphic>
          </wp:inline>
        </w:drawing>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0" w:firstLineChars="0"/>
        <w:textAlignment w:val="auto"/>
        <w:outlineLvl w:val="9"/>
        <w:rPr>
          <w:rFonts w:hint="eastAsia" w:ascii="宋体" w:hAnsi="宋体" w:eastAsia="宋体" w:cs="宋体"/>
        </w:rPr>
      </w:pP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b/>
          <w:sz w:val="28"/>
          <w:szCs w:val="28"/>
        </w:rPr>
        <w:t>肺癌课题</w:t>
      </w:r>
      <w:r>
        <w:rPr>
          <w:rFonts w:hint="eastAsia" w:ascii="宋体" w:hAnsi="宋体" w:eastAsia="宋体" w:cs="宋体"/>
          <w:sz w:val="28"/>
          <w:szCs w:val="28"/>
        </w:rPr>
        <w:t>推荐（最终以实际讲课课题为准）：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小细胞肺癌的诊断、治疗和随访</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肺癌靶向治疗和放射治疗方案讨论</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EGFR敏感突变晚期非小细胞肺癌一线治疗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肺癌脑转移最前沿解读，破解脑转移难题</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不可手术IIIA、IIIB、IIIC期非小细胞肺癌的治疗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非小细胞肺癌EGFR突变的组织检查与生物标志物分析</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免疫治疗在早期非小细胞肺癌术后辅助治疗中的探索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NSCLC新辅助/辅助免疫治疗研究现状</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肺癌围手术期治疗疗效评价标准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不可切除局部晚期NSCLC的治疗现状与研究进展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放疗联合免疫治疗策略的优化</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EGFR TKIs药物安全性探讨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EGFR TKIs耐药机制和耐药后检测</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EGFR TKI治疗失败后免疫治疗的应用时机</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驱动基因阴性晚期NSCLC一线治疗策略的优化</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免疫治疗生物标志物的探索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肺癌放射治疗副反应及护理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免疫检查点抑制剂治疗广泛期小细胞肺癌的临床研究进展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统计学解读三代EGFR-TKI一线治疗非小细胞肺癌临床试验</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肺癌脑转移治疗进展和EGFR-TKI序贯治疗策略</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探索晚期非小细胞肺癌全程管理新策略</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表面组分析揭示小细胞肺癌(SCLC)转录亚型中独特的治疗脆弱性</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晚期非鳞状非小细胞肺癌患者综合分子基因分型与总生存期的相关性</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聚焦晚期非小细胞肺癌EAR精准诊疗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从真实病例看中晚期肺癌化疗用药选择</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广泛期小细胞肺癌的维持及后线治疗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p>
    <w:p>
      <w:pPr>
        <w:pStyle w:val="5"/>
        <w:keepNext w:val="0"/>
        <w:keepLines w:val="0"/>
        <w:pageBreakBefore w:val="0"/>
        <w:numPr>
          <w:numId w:val="0"/>
        </w:numPr>
        <w:kinsoku/>
        <w:wordWrap/>
        <w:overflowPunct/>
        <w:topLinePunct w:val="0"/>
        <w:autoSpaceDE/>
        <w:autoSpaceDN/>
        <w:bidi w:val="0"/>
        <w:adjustRightInd/>
        <w:snapToGrid/>
        <w:spacing w:line="260" w:lineRule="atLeast"/>
        <w:ind w:left="456" w:leftChars="0" w:right="0" w:rightChars="0" w:firstLine="56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lang w:val="en-US" w:eastAsia="zh-CN"/>
        </w:rPr>
        <w:t>4、</w:t>
      </w:r>
      <w:r>
        <w:rPr>
          <w:rFonts w:hint="eastAsia" w:ascii="宋体" w:hAnsi="宋体" w:eastAsia="宋体" w:cs="宋体"/>
          <w:b/>
          <w:sz w:val="28"/>
          <w:szCs w:val="28"/>
        </w:rPr>
        <w:t>乳腺癌课题</w:t>
      </w:r>
      <w:r>
        <w:rPr>
          <w:rFonts w:hint="eastAsia" w:ascii="宋体" w:hAnsi="宋体" w:eastAsia="宋体" w:cs="宋体"/>
          <w:sz w:val="28"/>
          <w:szCs w:val="28"/>
        </w:rPr>
        <w:t>推荐（最终以实际讲课课题为准）：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新冠疫情下乳腺癌患者如何兼顾抗癌和防疫</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激素受体阳性晚期乳腺癌内分泌治疗进展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HER2阳性晚期乳腺癌治疗探索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重视早期发现-乳腺癌就诊指导</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乳腺癌的放射治疗与靶向治疗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HER2阳性乳腺癌脑转移治疗探索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TILs+PLR联合预测三阴性乳腺癌的治疗结局</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HR+/HER2-晚期乳腺癌，最佳治疗方案如何选择</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三阴性乳腺癌精准治疗最新探索与展望</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晚期乳腺癌有哪些主要的治疗手段</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早期乳腺癌治疗策略的研究及未来展望</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年轻乳腺癌的治疗策略及生育保护</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乳腺癌辅助化疗患者如何合理使用镇静催眠药？</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克服乳腺癌内分泌耐药，不同靶向药物该如何选择</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激素受体阳性早期乳腺癌辅助内分泌治疗进展——内分泌治疗疗效预测</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中国早期乳腺癌患者化疗过程中的心理焦虑、抑郁状况与生活质量变化</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三阴性乳腺癌的陷阱与进展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乳腺癌治疗的新进展与新启发</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从分子机制看激素受体阳性乳腺癌对CDK4/6抑制剂的耐药问题和解决方案</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HR+/HER2-乳腺癌，免疫与CDK4/6i的协同作用及生物标志物探索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HR+乳腺癌更新要点及进展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晚期三阴性乳腺癌治疗中热点问题探讨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乳腺癌骨转移的中医治疗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乳腺癌放化疗相关不良反应中医药管理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乳腺癌围手术期相关不良反应中医药管理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名老中医治疗乳腺癌经验药物总结</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三阳性晚期乳腺癌患者的治疗模式及预后探索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乳腺癌ADC药物及CDK4/6抑制剂应用的相关研究</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乳腺癌患者围化疗期营养支持</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聚焦HR+/HER2-晚期年轻乳腺癌患者临床研究与治疗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乳腺癌免疫疗法及液体活检的潜在作用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乳腺癌术后康复有方法+疼痛的评估内容</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HER2低表达乳腺癌临床和基因特征</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双侧乳腺癌的临床病理特征及预后因素分析</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CDK4/6抑制剂联合免疫治疗在ER+/HER2-乳腺癌患者新辅助治疗领域的探索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HER2阳性乳腺癌精准治疗升级</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Fcγ受体在乳腺癌HER2靶向治疗中的作用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精准与微创-乳腺癌综合治疗新进展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乳腺癌术后乳房再造</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乳腺癌与心血管健康</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脂肪酸受体CD36在乳腺癌淋巴结转移中的作用及机制研究</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p>
    <w:p>
      <w:pPr>
        <w:pStyle w:val="5"/>
        <w:keepNext w:val="0"/>
        <w:keepLines w:val="0"/>
        <w:pageBreakBefore w:val="0"/>
        <w:numPr>
          <w:numId w:val="0"/>
        </w:numPr>
        <w:kinsoku/>
        <w:wordWrap/>
        <w:overflowPunct/>
        <w:topLinePunct w:val="0"/>
        <w:autoSpaceDE/>
        <w:autoSpaceDN/>
        <w:bidi w:val="0"/>
        <w:adjustRightInd/>
        <w:snapToGrid/>
        <w:spacing w:line="260" w:lineRule="atLeast"/>
        <w:ind w:left="456" w:leftChars="0" w:right="0" w:rightChars="0"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消化道肿瘤课题</w:t>
      </w:r>
      <w:r>
        <w:rPr>
          <w:rFonts w:hint="eastAsia" w:ascii="宋体" w:hAnsi="宋体" w:eastAsia="宋体" w:cs="宋体"/>
          <w:sz w:val="28"/>
          <w:szCs w:val="28"/>
        </w:rPr>
        <w:t>推荐（最终以实际讲课课题为准）：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液体活检在消化道肿瘤诊治中的应用进展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食管及胃食管结合部癌精准治疗进展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食管癌分子分型与精准治疗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局部晚期食管癌免疫治疗的进展和挑战</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消化系统肿瘤精准液体活检进展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消化系统肿瘤空间多学组进展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消化系统肿瘤免疫微环境基质研究进展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消化内镜术前肠道准备/早期消化道肿瘤的内镜治疗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结直肠癌免疫治疗的现状与思考</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食管癌药物治疗的临床问题</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消化系统肿瘤临床前模型和新药转化研究进展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肠道肿瘤发生发展的调控机制</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胆囊癌精准治疗的探索与实践</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下一代病理技术在消化系统肿瘤有重要的科研和临床应用价值</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消化道肿瘤患者的放疗护理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免疫治疗相关生物标志物的探索与检测</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胃癌围手术期及转化治疗新策略</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探索基于肿瘤进化的晚期胃癌全程管理策略</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胃癌围手术期治疗现状和展望</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结肠癌免疫治疗进展的相关临床问题与思考</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免疫时代下的结直肠癌MDT新格局</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p>
    <w:p>
      <w:pPr>
        <w:pStyle w:val="5"/>
        <w:keepNext w:val="0"/>
        <w:keepLines w:val="0"/>
        <w:pageBreakBefore w:val="0"/>
        <w:numPr>
          <w:numId w:val="0"/>
        </w:numPr>
        <w:kinsoku/>
        <w:wordWrap/>
        <w:overflowPunct/>
        <w:topLinePunct w:val="0"/>
        <w:autoSpaceDE/>
        <w:autoSpaceDN/>
        <w:bidi w:val="0"/>
        <w:adjustRightInd/>
        <w:snapToGrid/>
        <w:spacing w:line="260" w:lineRule="atLeast"/>
        <w:ind w:left="456" w:leftChars="0" w:right="0" w:rightChars="0"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6、</w:t>
      </w:r>
      <w:r>
        <w:rPr>
          <w:rFonts w:hint="eastAsia" w:ascii="宋体" w:hAnsi="宋体" w:eastAsia="宋体" w:cs="宋体"/>
          <w:b/>
          <w:sz w:val="28"/>
          <w:szCs w:val="28"/>
        </w:rPr>
        <w:t>血液肿瘤课题</w:t>
      </w:r>
      <w:r>
        <w:rPr>
          <w:rFonts w:hint="eastAsia" w:ascii="宋体" w:hAnsi="宋体" w:eastAsia="宋体" w:cs="宋体"/>
          <w:sz w:val="28"/>
          <w:szCs w:val="28"/>
        </w:rPr>
        <w:t>推荐（最终以实际讲课课题为准）：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骨髓抑制期患者的自我防护管理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儿童急性髓系白血病精准诊疗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血液淋巴恶行肿瘤靶向和细胞治疗回顾与现状</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原发中枢系统淋巴瘤的治疗选择</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多发性骨髓瘤治疗进展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抗体治疗多发性骨髓瘤（MM）的进展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如何治疗不适合强化疗的AML患者</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转录组测序在血液肿瘤诊疗中的应用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淋巴瘤嵌合抗原受体T（CAR-T）治疗研究进展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血液病患者的皮肤问题探讨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异基因造血干细胞移植后出凝血临床诊治</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获得性凝血因子缺乏症的诊治</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代谢调控血小板产生和功能的机制及干预</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CAR-T治疗T细胞恶性肿瘤的挑战</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滤泡淋巴瘤的诊疗进展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PNH的诊断进展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慢淋患者的治疗目标</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限时治疗在CLL中的探索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靶向治疗在DLBCL中的应用探索</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MCL治疗新选择</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异基因造血干细胞移植治疗进展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霍奇金淋巴瘤治疗进展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血栓性血小板减少性紫癫诊治进展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血液病患者侵袭性真菌感染的治疗</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多发性骨髓瘤的自体干细胞移植</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p>
    <w:p>
      <w:pPr>
        <w:pStyle w:val="5"/>
        <w:keepNext w:val="0"/>
        <w:keepLines w:val="0"/>
        <w:pageBreakBefore w:val="0"/>
        <w:numPr>
          <w:numId w:val="0"/>
        </w:numPr>
        <w:kinsoku/>
        <w:wordWrap/>
        <w:overflowPunct/>
        <w:topLinePunct w:val="0"/>
        <w:autoSpaceDE/>
        <w:autoSpaceDN/>
        <w:bidi w:val="0"/>
        <w:adjustRightInd/>
        <w:snapToGrid/>
        <w:spacing w:line="260" w:lineRule="atLeast"/>
        <w:ind w:leftChars="0"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六、</w:t>
      </w:r>
      <w:r>
        <w:rPr>
          <w:rFonts w:hint="eastAsia" w:ascii="宋体" w:hAnsi="宋体" w:eastAsia="宋体" w:cs="宋体"/>
          <w:b/>
          <w:sz w:val="28"/>
          <w:szCs w:val="28"/>
        </w:rPr>
        <w:t>媒体发布文章内容推荐</w:t>
      </w:r>
      <w:r>
        <w:rPr>
          <w:rFonts w:hint="eastAsia" w:ascii="宋体" w:hAnsi="宋体" w:eastAsia="宋体" w:cs="宋体"/>
          <w:sz w:val="28"/>
          <w:szCs w:val="28"/>
        </w:rPr>
        <w:t>（最终以实际发布内容为准）：</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汇聚多科力量，距离规范典范 | 肺癌MDT诊疗规范实践分享</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MDT模式强势助力我国乳腺癌诊疗水平迅速发展</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全面发挥MDT效能，赋予消化道肿瘤患者更好未来</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MDT在小细胞肺癌伴随眼转移失明病例中的应用</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1例免疫联合化疗新辅助治疗 IIIA期肺鳞癌的MDT病例分享</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乳腺癌诊疗需与国际接轨，宜推早筛早诊、MDT</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r>
        <w:rPr>
          <w:rFonts w:hint="eastAsia" w:ascii="宋体" w:hAnsi="宋体" w:eastAsia="宋体" w:cs="宋体"/>
          <w:sz w:val="28"/>
          <w:szCs w:val="28"/>
        </w:rPr>
        <w:t>表现为心力衰竭的慢性嗜酸性粒细胞白血病病例学习</w:t>
      </w:r>
    </w:p>
    <w:p>
      <w:pPr>
        <w:pStyle w:val="5"/>
        <w:keepNext w:val="0"/>
        <w:keepLines w:val="0"/>
        <w:pageBreakBefore w:val="0"/>
        <w:kinsoku/>
        <w:wordWrap/>
        <w:overflowPunct/>
        <w:topLinePunct w:val="0"/>
        <w:autoSpaceDE/>
        <w:autoSpaceDN/>
        <w:bidi w:val="0"/>
        <w:adjustRightInd/>
        <w:snapToGrid/>
        <w:spacing w:line="260" w:lineRule="atLeast"/>
        <w:ind w:left="456" w:right="0" w:rightChars="0" w:firstLine="440"/>
        <w:textAlignment w:val="auto"/>
        <w:outlineLvl w:val="9"/>
        <w:rPr>
          <w:rFonts w:hint="eastAsia" w:ascii="宋体" w:hAnsi="宋体" w:eastAsia="宋体" w:cs="宋体"/>
          <w:sz w:val="28"/>
          <w:szCs w:val="28"/>
        </w:rPr>
      </w:pPr>
      <w:bookmarkStart w:id="0" w:name="_GoBack"/>
      <w:bookmarkEnd w:id="0"/>
    </w:p>
    <w:p>
      <w:pPr>
        <w:ind w:firstLine="560" w:firstLineChars="200"/>
        <w:jc w:val="righ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中关村精准医学基金会</w:t>
      </w:r>
    </w:p>
    <w:p>
      <w:pPr>
        <w:ind w:firstLine="560" w:firstLineChars="200"/>
        <w:jc w:val="right"/>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二〇二三年三月六日</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Y2ViMjhkNGQ2MDNmMmFiMjA5ZTgzZGMxZDQzMmIifQ=="/>
  </w:docVars>
  <w:rsids>
    <w:rsidRoot w:val="0D380117"/>
    <w:rsid w:val="043068D3"/>
    <w:rsid w:val="0D380117"/>
    <w:rsid w:val="11902A8A"/>
    <w:rsid w:val="120B2110"/>
    <w:rsid w:val="13A72EEF"/>
    <w:rsid w:val="1A516B2E"/>
    <w:rsid w:val="28C47BDD"/>
    <w:rsid w:val="301666CB"/>
    <w:rsid w:val="364F4412"/>
    <w:rsid w:val="3A023FD8"/>
    <w:rsid w:val="3D70539A"/>
    <w:rsid w:val="3DBC0328"/>
    <w:rsid w:val="3FAE21A9"/>
    <w:rsid w:val="4A49144C"/>
    <w:rsid w:val="4AF225DA"/>
    <w:rsid w:val="57646390"/>
    <w:rsid w:val="582D6D32"/>
    <w:rsid w:val="666845B1"/>
    <w:rsid w:val="68BF33A8"/>
    <w:rsid w:val="6C4437A2"/>
    <w:rsid w:val="7217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2559</Words>
  <Characters>2898</Characters>
  <Lines>0</Lines>
  <Paragraphs>0</Paragraphs>
  <TotalTime>0</TotalTime>
  <ScaleCrop>false</ScaleCrop>
  <LinksUpToDate>false</LinksUpToDate>
  <CharactersWithSpaces>2932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2023-03-06T05:30:00Z</dcterms:created>
  <dc:creator>Administrator</dc:creator>
  <cp:lastModifiedBy>Administrator</cp:lastModifiedBy>
  <dcterms:modified xsi:type="dcterms:W3CDTF">2023-03-06T05:36:00Z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8C813BAEEECB4E57BA83853D2001104A</vt:lpwstr>
  </property>
</Properties>
</file>